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6E34" w14:textId="67E802B0" w:rsidR="00880B8E" w:rsidRDefault="00333B51">
      <w:pPr>
        <w:pStyle w:val="Body"/>
        <w:rPr>
          <w:b/>
          <w:bCs/>
          <w:sz w:val="28"/>
          <w:szCs w:val="28"/>
        </w:rPr>
      </w:pPr>
      <w:r w:rsidRPr="00333B51">
        <w:rPr>
          <w:b/>
          <w:bCs/>
          <w:sz w:val="28"/>
          <w:szCs w:val="28"/>
        </w:rPr>
        <w:t>CLDN18.2 — Modèle de rapport — Cancer de l’estomac/de la JGO</w:t>
      </w:r>
    </w:p>
    <w:p w14:paraId="682AF10C" w14:textId="77777777" w:rsidR="00333B51" w:rsidRDefault="00333B51">
      <w:pPr>
        <w:pStyle w:val="Body"/>
      </w:pPr>
    </w:p>
    <w:p w14:paraId="01A3E37A" w14:textId="077A27A0" w:rsidR="00880B8E" w:rsidRDefault="00AD147A">
      <w:pPr>
        <w:pStyle w:val="Body"/>
      </w:pPr>
      <w:r w:rsidRPr="00AD147A">
        <w:t>Élaboré conjointement par le comité d’experts sur la CLDN18.2, le modèle suivant peut vous aider à générer et intégrer les rapports sur le dosage IHC de la CLDN18.2 dans vos protocoles actuels.</w:t>
      </w:r>
    </w:p>
    <w:p w14:paraId="12C0DC20" w14:textId="77777777" w:rsidR="00AD147A" w:rsidRDefault="00AD147A">
      <w:pPr>
        <w:pStyle w:val="Body"/>
      </w:pPr>
    </w:p>
    <w:p w14:paraId="1FDE9590" w14:textId="77777777" w:rsidR="00FE490A" w:rsidRDefault="00FE490A">
      <w:pPr>
        <w:pStyle w:val="Body"/>
        <w:rPr>
          <w:b/>
          <w:bCs/>
        </w:rPr>
      </w:pPr>
      <w:r w:rsidRPr="00FE490A">
        <w:rPr>
          <w:b/>
          <w:bCs/>
        </w:rPr>
        <w:t xml:space="preserve">Algorithme d’évaluation </w:t>
      </w:r>
    </w:p>
    <w:p w14:paraId="3689A812" w14:textId="5BBDFF1F" w:rsidR="00880B8E" w:rsidRDefault="00156CEB">
      <w:pPr>
        <w:pStyle w:val="Body"/>
      </w:pPr>
      <w:r w:rsidRPr="00156CEB">
        <w:t>Pourcentage de cellules tumorales présentant une coloration membraneuse modérée à forte (2+/3+) spécifique de la CLDN18.</w:t>
      </w:r>
    </w:p>
    <w:p w14:paraId="464A9396" w14:textId="77777777" w:rsidR="00156CEB" w:rsidRDefault="00156CEB">
      <w:pPr>
        <w:pStyle w:val="Body"/>
      </w:pPr>
    </w:p>
    <w:p w14:paraId="5A017EFC" w14:textId="77777777" w:rsidR="00880B8E" w:rsidRDefault="00880B8E">
      <w:pPr>
        <w:pStyle w:val="Body"/>
      </w:pPr>
    </w:p>
    <w:p w14:paraId="4977022F" w14:textId="3151F2FC" w:rsidR="00880B8E" w:rsidRDefault="003E5D23">
      <w:pPr>
        <w:pStyle w:val="Body"/>
        <w:rPr>
          <w:b/>
          <w:bCs/>
        </w:rPr>
      </w:pPr>
      <w:r w:rsidRPr="003E5D23">
        <w:rPr>
          <w:b/>
          <w:bCs/>
        </w:rPr>
        <w:t>Pourcentage de cellules tumorales présentant une coloration membraneuse</w:t>
      </w:r>
    </w:p>
    <w:p w14:paraId="79A76129" w14:textId="77777777" w:rsidR="003E5D23" w:rsidRDefault="003E5D23">
      <w:pPr>
        <w:pStyle w:val="Body"/>
      </w:pPr>
    </w:p>
    <w:p w14:paraId="759BAC8C" w14:textId="36F0B790" w:rsidR="00880B8E" w:rsidRDefault="00A95DCD">
      <w:pPr>
        <w:pStyle w:val="Body"/>
      </w:pPr>
      <w:r w:rsidRPr="00A95DCD">
        <w:t>Cellules tumorales avec coloration modérée (2+</w:t>
      </w:r>
      <w:proofErr w:type="gramStart"/>
      <w:r w:rsidRPr="00A95DCD">
        <w:t>) :</w:t>
      </w:r>
      <w:proofErr w:type="gramEnd"/>
      <w:r>
        <w:t xml:space="preserve">  ____________</w:t>
      </w:r>
    </w:p>
    <w:p w14:paraId="70377124" w14:textId="77777777" w:rsidR="00880B8E" w:rsidRDefault="00880B8E">
      <w:pPr>
        <w:pStyle w:val="Body"/>
      </w:pPr>
    </w:p>
    <w:p w14:paraId="19FC5CB4" w14:textId="254FB4E5" w:rsidR="00880B8E" w:rsidRDefault="00080B06">
      <w:pPr>
        <w:pStyle w:val="Body"/>
      </w:pPr>
      <w:r w:rsidRPr="00080B06">
        <w:t>Cellules tumorales avec forte coloration (3+</w:t>
      </w:r>
      <w:proofErr w:type="gramStart"/>
      <w:r w:rsidRPr="00080B06">
        <w:t>) :</w:t>
      </w:r>
      <w:proofErr w:type="gramEnd"/>
      <w:r>
        <w:t>____________</w:t>
      </w:r>
    </w:p>
    <w:p w14:paraId="017D2B27" w14:textId="77777777" w:rsidR="00880B8E" w:rsidRDefault="00880B8E">
      <w:pPr>
        <w:pStyle w:val="Body"/>
      </w:pPr>
    </w:p>
    <w:p w14:paraId="39ED2EC4" w14:textId="2EDE6713" w:rsidR="00880B8E" w:rsidRDefault="00B90D32">
      <w:pPr>
        <w:pStyle w:val="Body"/>
        <w:rPr>
          <w:sz w:val="18"/>
          <w:szCs w:val="18"/>
        </w:rPr>
      </w:pPr>
      <w:r w:rsidRPr="00B90D32">
        <w:t>Nombre total de cellules tumorales avec coloration modérée à forte (2+/3+</w:t>
      </w:r>
      <w:proofErr w:type="gramStart"/>
      <w:r w:rsidRPr="00B90D32">
        <w:t>) :</w:t>
      </w:r>
      <w:proofErr w:type="gramEnd"/>
      <w:r>
        <w:t xml:space="preserve">  ____________ </w:t>
      </w:r>
      <w:r w:rsidR="008F65B7" w:rsidRPr="008F65B7">
        <w:rPr>
          <w:i/>
          <w:iCs/>
          <w:sz w:val="18"/>
          <w:szCs w:val="18"/>
        </w:rPr>
        <w:t>(Somme des 2 lignes précédentes)</w:t>
      </w:r>
    </w:p>
    <w:p w14:paraId="5B27E680" w14:textId="77777777" w:rsidR="00880B8E" w:rsidRDefault="00880B8E">
      <w:pPr>
        <w:pStyle w:val="Body"/>
      </w:pPr>
    </w:p>
    <w:p w14:paraId="24C2A4E1" w14:textId="77777777" w:rsidR="00880B8E" w:rsidRDefault="00880B8E">
      <w:pPr>
        <w:pStyle w:val="Body"/>
      </w:pPr>
    </w:p>
    <w:p w14:paraId="5A3C0030" w14:textId="476C0A4E" w:rsidR="00880B8E" w:rsidRDefault="003526D7">
      <w:pPr>
        <w:pStyle w:val="Body"/>
        <w:rPr>
          <w:b/>
          <w:bCs/>
        </w:rPr>
      </w:pPr>
      <w:r>
        <w:rPr>
          <w:b/>
          <w:bCs/>
        </w:rPr>
        <w:t>Statu</w:t>
      </w:r>
      <w:r w:rsidR="00E64BA5">
        <w:rPr>
          <w:b/>
          <w:bCs/>
        </w:rPr>
        <w:t>t</w:t>
      </w:r>
      <w:r w:rsidR="00F05C87" w:rsidRPr="00F05C87">
        <w:rPr>
          <w:b/>
          <w:bCs/>
        </w:rPr>
        <w:t xml:space="preserve"> de</w:t>
      </w:r>
      <w:r w:rsidR="00F05C87">
        <w:rPr>
          <w:b/>
          <w:bCs/>
        </w:rPr>
        <w:t xml:space="preserve"> CLDN18.2</w:t>
      </w:r>
    </w:p>
    <w:p w14:paraId="3ACFA08D" w14:textId="6D272820" w:rsidR="00F05C87" w:rsidRDefault="00F05C87">
      <w:pPr>
        <w:pStyle w:val="Body"/>
        <w:rPr>
          <w:i/>
          <w:iCs/>
          <w:sz w:val="18"/>
          <w:szCs w:val="18"/>
        </w:rPr>
      </w:pPr>
      <w:r>
        <w:rPr>
          <w:i/>
          <w:iCs/>
          <w:sz w:val="18"/>
          <w:szCs w:val="18"/>
        </w:rPr>
        <w:t>(</w:t>
      </w:r>
      <w:r w:rsidRPr="004E11D0">
        <w:rPr>
          <w:i/>
          <w:iCs/>
          <w:sz w:val="18"/>
          <w:szCs w:val="18"/>
        </w:rPr>
        <w:t>Sélectionner une option)</w:t>
      </w:r>
    </w:p>
    <w:p w14:paraId="090E9D90" w14:textId="77777777" w:rsidR="00F05C87" w:rsidRPr="00F05C87" w:rsidRDefault="00F05C87">
      <w:pPr>
        <w:pStyle w:val="Body"/>
        <w:rPr>
          <w:i/>
          <w:iCs/>
          <w:sz w:val="18"/>
          <w:szCs w:val="18"/>
        </w:rPr>
      </w:pPr>
    </w:p>
    <w:p w14:paraId="11F14250" w14:textId="7C18E0BE" w:rsidR="00880B8E" w:rsidRDefault="00E64BA5">
      <w:pPr>
        <w:pStyle w:val="Body"/>
      </w:pPr>
      <w:r>
        <w:t xml:space="preserve">____ </w:t>
      </w:r>
      <w:r w:rsidR="00A71934" w:rsidRPr="00A71934">
        <w:t>Non concluant</w:t>
      </w:r>
    </w:p>
    <w:p w14:paraId="6F89BB65" w14:textId="6172D7A7" w:rsidR="00880B8E" w:rsidRDefault="00E64BA5">
      <w:pPr>
        <w:pStyle w:val="Body"/>
      </w:pPr>
      <w:r>
        <w:t xml:space="preserve">____ </w:t>
      </w:r>
      <w:r w:rsidR="009F5E1C" w:rsidRPr="009F5E1C">
        <w:rPr>
          <w:lang w:val="fr-FR"/>
        </w:rPr>
        <w:t xml:space="preserve">Positif </w:t>
      </w:r>
      <w:r w:rsidR="009F5E1C" w:rsidRPr="00B10A3E">
        <w:rPr>
          <w:sz w:val="18"/>
          <w:szCs w:val="18"/>
          <w:lang w:val="fr-FR"/>
        </w:rPr>
        <w:t>(coloration tumorale ≥ 75 %)</w:t>
      </w:r>
    </w:p>
    <w:p w14:paraId="39D464C5" w14:textId="0DC7FA9C" w:rsidR="00B10A3E" w:rsidRPr="00B10A3E" w:rsidRDefault="00E64BA5" w:rsidP="00B10A3E">
      <w:pPr>
        <w:pStyle w:val="Body"/>
        <w:rPr>
          <w:sz w:val="18"/>
          <w:szCs w:val="18"/>
        </w:rPr>
      </w:pPr>
      <w:r>
        <w:t xml:space="preserve">____ </w:t>
      </w:r>
      <w:r w:rsidR="00B10A3E" w:rsidRPr="00B10A3E">
        <w:rPr>
          <w:lang w:val="fr-FR"/>
        </w:rPr>
        <w:t xml:space="preserve">Négatif </w:t>
      </w:r>
      <w:r w:rsidR="00B10A3E" w:rsidRPr="00B10A3E">
        <w:rPr>
          <w:sz w:val="18"/>
          <w:szCs w:val="18"/>
          <w:lang w:val="fr-FR"/>
        </w:rPr>
        <w:t>(&lt;75 % de coloration tumorale)</w:t>
      </w:r>
    </w:p>
    <w:p w14:paraId="66AC66B3" w14:textId="242AB189" w:rsidR="00880B8E" w:rsidRDefault="00880B8E">
      <w:pPr>
        <w:pStyle w:val="Body"/>
      </w:pPr>
    </w:p>
    <w:p w14:paraId="7EECBDC9" w14:textId="77777777" w:rsidR="00880B8E" w:rsidRDefault="00880B8E">
      <w:pPr>
        <w:pStyle w:val="Body"/>
      </w:pPr>
    </w:p>
    <w:p w14:paraId="3423577B" w14:textId="77777777" w:rsidR="00C11615" w:rsidRDefault="00C11615">
      <w:pPr>
        <w:pStyle w:val="Body"/>
        <w:rPr>
          <w:b/>
          <w:bCs/>
        </w:rPr>
      </w:pPr>
      <w:r w:rsidRPr="00C11615">
        <w:rPr>
          <w:b/>
          <w:bCs/>
        </w:rPr>
        <w:t>Méthode d’analyse de la CLDN18.2</w:t>
      </w:r>
      <w:r w:rsidRPr="00C11615">
        <w:t xml:space="preserve"> (expression de la protéine par immunohistochimie)</w:t>
      </w:r>
      <w:r w:rsidRPr="00C11615">
        <w:rPr>
          <w:b/>
          <w:bCs/>
        </w:rPr>
        <w:t xml:space="preserve"> </w:t>
      </w:r>
    </w:p>
    <w:p w14:paraId="306769B7" w14:textId="4063B8E0" w:rsidR="00880B8E" w:rsidRDefault="004E11D0">
      <w:pPr>
        <w:pStyle w:val="Body"/>
        <w:rPr>
          <w:i/>
          <w:iCs/>
          <w:sz w:val="18"/>
          <w:szCs w:val="18"/>
        </w:rPr>
      </w:pPr>
      <w:r w:rsidRPr="004E11D0">
        <w:rPr>
          <w:i/>
          <w:iCs/>
          <w:sz w:val="18"/>
          <w:szCs w:val="18"/>
        </w:rPr>
        <w:t>(Sélectionner une option)</w:t>
      </w:r>
    </w:p>
    <w:p w14:paraId="521A3C1F" w14:textId="77777777" w:rsidR="004E11D0" w:rsidRDefault="004E11D0">
      <w:pPr>
        <w:pStyle w:val="Body"/>
        <w:rPr>
          <w:sz w:val="18"/>
          <w:szCs w:val="18"/>
        </w:rPr>
      </w:pPr>
    </w:p>
    <w:p w14:paraId="0A4F693A" w14:textId="355F444B" w:rsidR="00880B8E" w:rsidRDefault="00E64BA5">
      <w:pPr>
        <w:pStyle w:val="Body"/>
      </w:pPr>
      <w:r>
        <w:t xml:space="preserve">____ </w:t>
      </w:r>
      <w:r w:rsidR="008D6F72" w:rsidRPr="008D6F72">
        <w:t>DIV Test approuvé par Santé Canada:</w:t>
      </w:r>
      <w:r>
        <w:t xml:space="preserve">  ___________________ </w:t>
      </w:r>
      <w:r w:rsidR="00651EFD" w:rsidRPr="00651EFD">
        <w:rPr>
          <w:i/>
          <w:iCs/>
          <w:sz w:val="18"/>
          <w:szCs w:val="18"/>
          <w:lang w:val="fr-CA"/>
        </w:rPr>
        <w:t>(Préciser le test/le fournisseur)</w:t>
      </w:r>
    </w:p>
    <w:p w14:paraId="23847E16" w14:textId="77777777" w:rsidR="00880B8E" w:rsidRDefault="00880B8E">
      <w:pPr>
        <w:pStyle w:val="Body"/>
      </w:pPr>
    </w:p>
    <w:p w14:paraId="2CE5C552" w14:textId="22CBB62F" w:rsidR="00880B8E" w:rsidRDefault="00E64BA5">
      <w:pPr>
        <w:pStyle w:val="Body"/>
      </w:pPr>
      <w:r>
        <w:t xml:space="preserve">____ </w:t>
      </w:r>
      <w:r w:rsidR="007B59BC" w:rsidRPr="007B59BC">
        <w:t>Test mis au point au laboratoire</w:t>
      </w:r>
      <w:r>
        <w:t xml:space="preserve">:  ___________________ </w:t>
      </w:r>
      <w:r w:rsidR="007D356B" w:rsidRPr="007D356B">
        <w:rPr>
          <w:i/>
          <w:iCs/>
          <w:sz w:val="18"/>
          <w:szCs w:val="18"/>
        </w:rPr>
        <w:t>(Préciser le test/le fournisseur)</w:t>
      </w:r>
    </w:p>
    <w:p w14:paraId="05CF9E87" w14:textId="77777777" w:rsidR="00880B8E" w:rsidRDefault="00880B8E">
      <w:pPr>
        <w:pStyle w:val="Body"/>
      </w:pPr>
    </w:p>
    <w:p w14:paraId="09015C51" w14:textId="77777777" w:rsidR="00880B8E" w:rsidRDefault="00880B8E">
      <w:pPr>
        <w:pStyle w:val="Body"/>
      </w:pPr>
    </w:p>
    <w:p w14:paraId="581C1EED" w14:textId="3131F3A0" w:rsidR="00880B8E" w:rsidRDefault="00024B0A">
      <w:pPr>
        <w:pStyle w:val="Body"/>
        <w:rPr>
          <w:b/>
          <w:bCs/>
        </w:rPr>
      </w:pPr>
      <w:r w:rsidRPr="00024B0A">
        <w:rPr>
          <w:b/>
          <w:bCs/>
        </w:rPr>
        <w:t>Remarques</w:t>
      </w:r>
    </w:p>
    <w:p w14:paraId="3CA2E5FB" w14:textId="77777777" w:rsidR="00024B0A" w:rsidRDefault="00024B0A">
      <w:pPr>
        <w:pStyle w:val="Body"/>
        <w:rPr>
          <w:b/>
          <w:bCs/>
        </w:rPr>
      </w:pPr>
    </w:p>
    <w:p w14:paraId="49DB5F49" w14:textId="77777777" w:rsidR="00880B8E" w:rsidRDefault="00E64BA5">
      <w:pPr>
        <w:pStyle w:val="Body"/>
      </w:pPr>
      <w:r>
        <w:rPr>
          <w:b/>
          <w:bCs/>
        </w:rPr>
        <w:t>_____________________________________________________________________________________</w:t>
      </w:r>
      <w:r>
        <w:rPr>
          <w:b/>
          <w:bCs/>
        </w:rPr>
        <w:br/>
      </w:r>
      <w:r>
        <w:rPr>
          <w:b/>
          <w:bCs/>
        </w:rPr>
        <w:br/>
        <w:t>_____________________________________________________________________________________</w:t>
      </w:r>
      <w:r>
        <w:rPr>
          <w:b/>
          <w:bCs/>
        </w:rPr>
        <w:br/>
      </w:r>
      <w:r>
        <w:rPr>
          <w:b/>
          <w:bCs/>
        </w:rPr>
        <w:br/>
        <w:t>_____________________________________________________________________________________</w:t>
      </w:r>
      <w:r>
        <w:rPr>
          <w:b/>
          <w:bCs/>
        </w:rPr>
        <w:br/>
      </w:r>
    </w:p>
    <w:p w14:paraId="7FE350A7" w14:textId="77777777" w:rsidR="00880B8E" w:rsidRDefault="00880B8E">
      <w:pPr>
        <w:pStyle w:val="Body"/>
      </w:pPr>
    </w:p>
    <w:p w14:paraId="0727694D" w14:textId="702E3303" w:rsidR="00880B8E" w:rsidRDefault="0003707D">
      <w:pPr>
        <w:pStyle w:val="Body"/>
        <w:rPr>
          <w:sz w:val="16"/>
          <w:szCs w:val="16"/>
        </w:rPr>
      </w:pPr>
      <w:r w:rsidRPr="0003707D">
        <w:rPr>
          <w:sz w:val="16"/>
          <w:szCs w:val="16"/>
        </w:rPr>
        <w:lastRenderedPageBreak/>
        <w:t>Le comité d’experts sur la CLDN18.2 est composé de pathologistes parmi les plus renommés au monde, notamment Matteo Fassan, MD, PhD, Takeshi Kuwata, MD, PhD, Kristina A. Matkowskyj, MD, PhD, Christoph Röcken, MD, et Josef H. Rüschoff, MD. Les membres du comité sont des conseillers contractuels d’Astellas Pharma Inc. et ont reçu une rémunération pour le temps qu’ils ont consacré à cette tâche.</w:t>
      </w:r>
    </w:p>
    <w:p w14:paraId="5027ABF8" w14:textId="77777777" w:rsidR="0003707D" w:rsidRDefault="0003707D">
      <w:pPr>
        <w:pStyle w:val="Body"/>
        <w:rPr>
          <w:sz w:val="16"/>
          <w:szCs w:val="16"/>
        </w:rPr>
      </w:pPr>
    </w:p>
    <w:p w14:paraId="50ACD7E6" w14:textId="77777777" w:rsidR="009B49CC" w:rsidRPr="009B49CC" w:rsidRDefault="009B49CC" w:rsidP="009B49CC">
      <w:pPr>
        <w:pStyle w:val="Body"/>
        <w:rPr>
          <w:sz w:val="16"/>
          <w:szCs w:val="16"/>
          <w:lang w:val="de-DE"/>
        </w:rPr>
      </w:pPr>
      <w:r w:rsidRPr="009B49CC">
        <w:rPr>
          <w:sz w:val="16"/>
          <w:szCs w:val="16"/>
          <w:lang w:val="de-DE"/>
        </w:rPr>
        <w:t>JGO = jonction gastro-œsophagienne</w:t>
      </w:r>
    </w:p>
    <w:p w14:paraId="11E37A55" w14:textId="77777777" w:rsidR="009B49CC" w:rsidRPr="009B49CC" w:rsidRDefault="009B49CC" w:rsidP="009B49CC">
      <w:pPr>
        <w:pStyle w:val="Body"/>
        <w:rPr>
          <w:sz w:val="16"/>
          <w:szCs w:val="16"/>
          <w:lang w:val="de-DE"/>
        </w:rPr>
      </w:pPr>
      <w:r w:rsidRPr="009B49CC">
        <w:rPr>
          <w:sz w:val="16"/>
          <w:szCs w:val="16"/>
          <w:lang w:val="de-DE"/>
        </w:rPr>
        <w:t>IHC = immunohistochimie</w:t>
      </w:r>
    </w:p>
    <w:p w14:paraId="5ED8D84F" w14:textId="3F92842D" w:rsidR="009B49CC" w:rsidRPr="009B49CC" w:rsidRDefault="009B49CC" w:rsidP="009B49CC">
      <w:pPr>
        <w:pStyle w:val="Body"/>
        <w:rPr>
          <w:sz w:val="16"/>
          <w:szCs w:val="16"/>
          <w:lang w:val="de-DE"/>
        </w:rPr>
      </w:pPr>
      <w:r w:rsidRPr="009B49CC">
        <w:rPr>
          <w:sz w:val="16"/>
          <w:szCs w:val="16"/>
          <w:lang w:val="de-DE"/>
        </w:rPr>
        <w:t>CLDN = claudine</w:t>
      </w:r>
      <w:r w:rsidR="008D6F72">
        <w:rPr>
          <w:rFonts w:ascii="Times New Roman" w:hAnsi="Times New Roman" w:cs="Times New Roman"/>
          <w:color w:val="auto"/>
          <w:sz w:val="24"/>
          <w:szCs w:val="24"/>
          <w14:textOutline w14:w="0" w14:cap="rnd" w14:cmpd="sng" w14:algn="ctr">
            <w14:noFill/>
            <w14:prstDash w14:val="solid"/>
            <w14:bevel/>
          </w14:textOutline>
        </w:rPr>
        <w:br/>
      </w:r>
      <w:r w:rsidR="008D6F72" w:rsidRPr="008D6F72">
        <w:rPr>
          <w:sz w:val="16"/>
          <w:szCs w:val="16"/>
        </w:rPr>
        <w:t>DIV = diagnostic in vitro</w:t>
      </w:r>
      <w:r w:rsidR="008D6F72" w:rsidRPr="008D6F72">
        <w:rPr>
          <w:rFonts w:ascii="Times New Roman" w:hAnsi="Times New Roman" w:cs="Times New Roman"/>
          <w:color w:val="auto"/>
          <w:sz w:val="24"/>
          <w:szCs w:val="24"/>
          <w14:textOutline w14:w="0" w14:cap="rnd" w14:cmpd="sng" w14:algn="ctr">
            <w14:noFill/>
            <w14:prstDash w14:val="solid"/>
            <w14:bevel/>
          </w14:textOutline>
        </w:rPr>
        <w:t xml:space="preserve"> </w:t>
      </w:r>
      <w:r w:rsidR="008D6F72">
        <w:rPr>
          <w:rFonts w:ascii="Times New Roman" w:hAnsi="Times New Roman" w:cs="Times New Roman"/>
          <w:color w:val="auto"/>
          <w:sz w:val="24"/>
          <w:szCs w:val="24"/>
          <w14:textOutline w14:w="0" w14:cap="rnd" w14:cmpd="sng" w14:algn="ctr">
            <w14:noFill/>
            <w14:prstDash w14:val="solid"/>
            <w14:bevel/>
          </w14:textOutline>
        </w:rPr>
        <w:br/>
      </w:r>
      <w:r w:rsidR="008D6F72" w:rsidRPr="008D6F72">
        <w:rPr>
          <w:sz w:val="16"/>
          <w:szCs w:val="16"/>
        </w:rPr>
        <w:t>SC = Santé Canada</w:t>
      </w:r>
    </w:p>
    <w:p w14:paraId="0DFF6752" w14:textId="601E7766" w:rsidR="00880B8E" w:rsidRDefault="00880B8E" w:rsidP="009B49CC">
      <w:pPr>
        <w:pStyle w:val="Body"/>
        <w:rPr>
          <w:sz w:val="16"/>
          <w:szCs w:val="16"/>
          <w:lang w:val="de-DE"/>
        </w:rPr>
      </w:pPr>
    </w:p>
    <w:p w14:paraId="78CD6E35" w14:textId="77777777" w:rsidR="00A665EE" w:rsidRDefault="00A665EE" w:rsidP="009B49CC">
      <w:pPr>
        <w:pStyle w:val="Body"/>
        <w:rPr>
          <w:sz w:val="16"/>
          <w:szCs w:val="16"/>
          <w:lang w:val="de-DE"/>
        </w:rPr>
      </w:pPr>
    </w:p>
    <w:p w14:paraId="447D72F3" w14:textId="362116F6" w:rsidR="00A665EE" w:rsidRPr="00A665EE" w:rsidRDefault="00A665EE" w:rsidP="00A665EE">
      <w:pPr>
        <w:pStyle w:val="Body"/>
        <w:rPr>
          <w:sz w:val="16"/>
          <w:szCs w:val="16"/>
        </w:rPr>
      </w:pPr>
      <w:r w:rsidRPr="00A665EE">
        <w:rPr>
          <w:sz w:val="16"/>
          <w:szCs w:val="16"/>
        </w:rPr>
        <w:t>Cette documentation s’adresse uniquement aux professionnels de la santé intéressés par la prise en charge de l’adénocarcinome de l’estomac ou de la jonction gastro-œsophagienne (JGO).</w:t>
      </w:r>
    </w:p>
    <w:p w14:paraId="1FCB2A3D" w14:textId="4B1EDB78" w:rsidR="00A665EE" w:rsidRDefault="00A665EE" w:rsidP="00A665EE">
      <w:pPr>
        <w:pStyle w:val="Body"/>
        <w:rPr>
          <w:sz w:val="16"/>
          <w:szCs w:val="16"/>
        </w:rPr>
      </w:pPr>
      <w:r w:rsidRPr="00A665EE">
        <w:rPr>
          <w:sz w:val="16"/>
          <w:szCs w:val="16"/>
        </w:rPr>
        <w:t>Cette documentation représente une ressource scientifique éducative, financée et élaborée par Astellas Pharma Ltd.</w:t>
      </w:r>
    </w:p>
    <w:p w14:paraId="1A2B7F0C" w14:textId="77777777" w:rsidR="00880B8E" w:rsidRDefault="00880B8E">
      <w:pPr>
        <w:pStyle w:val="Body"/>
        <w:rPr>
          <w:sz w:val="16"/>
          <w:szCs w:val="16"/>
        </w:rPr>
      </w:pPr>
    </w:p>
    <w:p w14:paraId="11B5A310" w14:textId="5714AF77" w:rsidR="00880B8E" w:rsidRDefault="008D6F72" w:rsidP="00C4736F">
      <w:pPr>
        <w:pStyle w:val="Body"/>
      </w:pPr>
      <w:r w:rsidRPr="008D6F72">
        <w:rPr>
          <w:sz w:val="16"/>
          <w:szCs w:val="16"/>
        </w:rPr>
        <w:t>©2025 Astellas Pharma Inc. MAT-CA-NON-2025-00070 avril 2025</w:t>
      </w:r>
    </w:p>
    <w:sectPr w:rsidR="00880B8E">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E356" w14:textId="77777777" w:rsidR="00C47E44" w:rsidRDefault="00C47E44">
      <w:r>
        <w:separator/>
      </w:r>
    </w:p>
  </w:endnote>
  <w:endnote w:type="continuationSeparator" w:id="0">
    <w:p w14:paraId="6876153D" w14:textId="77777777" w:rsidR="00C47E44" w:rsidRDefault="00C4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D1FE" w14:textId="77777777" w:rsidR="00C47E44" w:rsidRDefault="00C47E44">
      <w:r>
        <w:separator/>
      </w:r>
    </w:p>
  </w:footnote>
  <w:footnote w:type="continuationSeparator" w:id="0">
    <w:p w14:paraId="59E1BD72" w14:textId="77777777" w:rsidR="00C47E44" w:rsidRDefault="00C4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8E"/>
    <w:rsid w:val="00024B0A"/>
    <w:rsid w:val="0003707D"/>
    <w:rsid w:val="00080B06"/>
    <w:rsid w:val="00156CEB"/>
    <w:rsid w:val="001A0ED0"/>
    <w:rsid w:val="001B268D"/>
    <w:rsid w:val="00333B51"/>
    <w:rsid w:val="003526D7"/>
    <w:rsid w:val="003D345A"/>
    <w:rsid w:val="003E5D23"/>
    <w:rsid w:val="004B17A2"/>
    <w:rsid w:val="004E11D0"/>
    <w:rsid w:val="00651EFD"/>
    <w:rsid w:val="00710345"/>
    <w:rsid w:val="007B59BC"/>
    <w:rsid w:val="007D356B"/>
    <w:rsid w:val="008423A1"/>
    <w:rsid w:val="00880B8E"/>
    <w:rsid w:val="008D6F72"/>
    <w:rsid w:val="008F65B7"/>
    <w:rsid w:val="009B49CC"/>
    <w:rsid w:val="009F5E1C"/>
    <w:rsid w:val="00A665EE"/>
    <w:rsid w:val="00A71934"/>
    <w:rsid w:val="00A95DCD"/>
    <w:rsid w:val="00AD147A"/>
    <w:rsid w:val="00B10A3E"/>
    <w:rsid w:val="00B665B8"/>
    <w:rsid w:val="00B90D32"/>
    <w:rsid w:val="00C11615"/>
    <w:rsid w:val="00C17A12"/>
    <w:rsid w:val="00C4736F"/>
    <w:rsid w:val="00C47E44"/>
    <w:rsid w:val="00D34885"/>
    <w:rsid w:val="00D417C0"/>
    <w:rsid w:val="00D648C5"/>
    <w:rsid w:val="00DB681B"/>
    <w:rsid w:val="00E316C4"/>
    <w:rsid w:val="00E64BA5"/>
    <w:rsid w:val="00F05C87"/>
    <w:rsid w:val="00F250BB"/>
    <w:rsid w:val="00FE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C9C5"/>
  <w15:docId w15:val="{E2C4148D-5958-FA42-B58B-3D4A9520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B681B"/>
    <w:pPr>
      <w:tabs>
        <w:tab w:val="center" w:pos="4680"/>
        <w:tab w:val="right" w:pos="9360"/>
      </w:tabs>
    </w:pPr>
  </w:style>
  <w:style w:type="character" w:customStyle="1" w:styleId="HeaderChar">
    <w:name w:val="Header Char"/>
    <w:basedOn w:val="DefaultParagraphFont"/>
    <w:link w:val="Header"/>
    <w:uiPriority w:val="99"/>
    <w:rsid w:val="00DB681B"/>
    <w:rPr>
      <w:sz w:val="24"/>
      <w:szCs w:val="24"/>
    </w:rPr>
  </w:style>
  <w:style w:type="paragraph" w:styleId="Footer">
    <w:name w:val="footer"/>
    <w:basedOn w:val="Normal"/>
    <w:link w:val="FooterChar"/>
    <w:uiPriority w:val="99"/>
    <w:unhideWhenUsed/>
    <w:rsid w:val="00DB681B"/>
    <w:pPr>
      <w:tabs>
        <w:tab w:val="center" w:pos="4680"/>
        <w:tab w:val="right" w:pos="9360"/>
      </w:tabs>
    </w:pPr>
  </w:style>
  <w:style w:type="character" w:customStyle="1" w:styleId="FooterChar">
    <w:name w:val="Footer Char"/>
    <w:basedOn w:val="DefaultParagraphFont"/>
    <w:link w:val="Footer"/>
    <w:uiPriority w:val="99"/>
    <w:rsid w:val="00DB681B"/>
    <w:rPr>
      <w:sz w:val="24"/>
      <w:szCs w:val="24"/>
    </w:rPr>
  </w:style>
  <w:style w:type="paragraph" w:styleId="HTMLPreformatted">
    <w:name w:val="HTML Preformatted"/>
    <w:basedOn w:val="Normal"/>
    <w:link w:val="HTMLPreformattedChar"/>
    <w:uiPriority w:val="99"/>
    <w:semiHidden/>
    <w:unhideWhenUsed/>
    <w:rsid w:val="009F5E1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5E1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445">
      <w:bodyDiv w:val="1"/>
      <w:marLeft w:val="0"/>
      <w:marRight w:val="0"/>
      <w:marTop w:val="0"/>
      <w:marBottom w:val="0"/>
      <w:divBdr>
        <w:top w:val="none" w:sz="0" w:space="0" w:color="auto"/>
        <w:left w:val="none" w:sz="0" w:space="0" w:color="auto"/>
        <w:bottom w:val="none" w:sz="0" w:space="0" w:color="auto"/>
        <w:right w:val="none" w:sz="0" w:space="0" w:color="auto"/>
      </w:divBdr>
    </w:div>
    <w:div w:id="878082610">
      <w:bodyDiv w:val="1"/>
      <w:marLeft w:val="0"/>
      <w:marRight w:val="0"/>
      <w:marTop w:val="0"/>
      <w:marBottom w:val="0"/>
      <w:divBdr>
        <w:top w:val="none" w:sz="0" w:space="0" w:color="auto"/>
        <w:left w:val="none" w:sz="0" w:space="0" w:color="auto"/>
        <w:bottom w:val="none" w:sz="0" w:space="0" w:color="auto"/>
        <w:right w:val="none" w:sz="0" w:space="0" w:color="auto"/>
      </w:divBdr>
    </w:div>
    <w:div w:id="131251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Jaiprakash Kadam, A.</cp:lastModifiedBy>
  <cp:revision>41</cp:revision>
  <dcterms:created xsi:type="dcterms:W3CDTF">2024-02-09T17:33:00Z</dcterms:created>
  <dcterms:modified xsi:type="dcterms:W3CDTF">2025-04-08T15:20:00Z</dcterms:modified>
</cp:coreProperties>
</file>